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D" w:rsidRDefault="000968CD">
      <w:r>
        <w:rPr>
          <w:b/>
          <w:noProof/>
          <w:color w:val="C0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00E4A11" wp14:editId="0F3C1FDC">
            <wp:simplePos x="0" y="0"/>
            <wp:positionH relativeFrom="column">
              <wp:posOffset>2493645</wp:posOffset>
            </wp:positionH>
            <wp:positionV relativeFrom="paragraph">
              <wp:posOffset>-450215</wp:posOffset>
            </wp:positionV>
            <wp:extent cx="6858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D3A" w:rsidRDefault="000968CD" w:rsidP="000968CD">
      <w:pPr>
        <w:tabs>
          <w:tab w:val="left" w:pos="1277"/>
        </w:tabs>
        <w:rPr>
          <w:rFonts w:ascii="Calibri" w:hAnsi="Calibri" w:cs="Calibri"/>
          <w:b/>
          <w:bCs/>
          <w:color w:val="C45911"/>
          <w:sz w:val="32"/>
          <w:szCs w:val="32"/>
        </w:rPr>
      </w:pPr>
      <w:r>
        <w:tab/>
      </w:r>
      <w:proofErr w:type="spellStart"/>
      <w:r>
        <w:rPr>
          <w:rFonts w:ascii="Calibri" w:hAnsi="Calibri" w:cs="Calibri"/>
          <w:b/>
          <w:bCs/>
          <w:color w:val="C45911"/>
          <w:sz w:val="32"/>
          <w:szCs w:val="32"/>
        </w:rPr>
        <w:t>Sefton’s</w:t>
      </w:r>
      <w:proofErr w:type="spellEnd"/>
      <w:r>
        <w:rPr>
          <w:rFonts w:ascii="Calibri" w:hAnsi="Calibri" w:cs="Calibri"/>
          <w:b/>
          <w:bCs/>
          <w:color w:val="C45911"/>
          <w:sz w:val="32"/>
          <w:szCs w:val="32"/>
        </w:rPr>
        <w:t xml:space="preserve"> Quality First Offer to all Primary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68CD" w:rsidTr="000968CD">
        <w:tc>
          <w:tcPr>
            <w:tcW w:w="9242" w:type="dxa"/>
          </w:tcPr>
          <w:p w:rsidR="000968CD" w:rsidRDefault="000968CD" w:rsidP="000968CD">
            <w:pPr>
              <w:tabs>
                <w:tab w:val="left" w:pos="1277"/>
              </w:tabs>
            </w:pPr>
          </w:p>
          <w:p w:rsidR="000968CD" w:rsidRDefault="000968CD" w:rsidP="000968CD">
            <w:pPr>
              <w:tabs>
                <w:tab w:val="left" w:pos="1277"/>
              </w:tabs>
            </w:pPr>
            <w:r>
              <w:t>“A pupil has SEN where their learning difficult</w:t>
            </w:r>
            <w:r>
              <w:t xml:space="preserve">y calls for special educational </w:t>
            </w:r>
            <w:r>
              <w:t>provision, that is provision that is diffe</w:t>
            </w:r>
            <w:r>
              <w:t xml:space="preserve">rent from or additional to that </w:t>
            </w:r>
            <w:r>
              <w:t>normally available to pupils of the same age.</w:t>
            </w:r>
          </w:p>
          <w:p w:rsidR="000968CD" w:rsidRDefault="000968CD" w:rsidP="000968CD">
            <w:pPr>
              <w:tabs>
                <w:tab w:val="left" w:pos="1277"/>
              </w:tabs>
            </w:pPr>
          </w:p>
          <w:p w:rsidR="000968CD" w:rsidRDefault="000968CD" w:rsidP="000968CD">
            <w:pPr>
              <w:tabs>
                <w:tab w:val="left" w:pos="1277"/>
              </w:tabs>
            </w:pPr>
            <w:r>
              <w:t>Making higher quality teaching normally availab</w:t>
            </w:r>
            <w:r>
              <w:t xml:space="preserve">le to the whole class is likely </w:t>
            </w:r>
            <w:r>
              <w:t>to mean that fewer pupils will require such</w:t>
            </w:r>
            <w:r>
              <w:t xml:space="preserve"> support.  Such improvements in </w:t>
            </w:r>
            <w:r>
              <w:t>whole-class provision tend to more cost effective and sustainable.”</w:t>
            </w:r>
          </w:p>
          <w:p w:rsidR="000968CD" w:rsidRDefault="000968CD" w:rsidP="000968CD">
            <w:pPr>
              <w:tabs>
                <w:tab w:val="left" w:pos="1277"/>
              </w:tabs>
            </w:pPr>
            <w:r>
              <w:t xml:space="preserve"> </w:t>
            </w:r>
          </w:p>
          <w:p w:rsidR="000968CD" w:rsidRDefault="000968CD" w:rsidP="000968CD">
            <w:pPr>
              <w:tabs>
                <w:tab w:val="left" w:pos="1277"/>
              </w:tabs>
            </w:pPr>
            <w:r>
              <w:t>The</w:t>
            </w:r>
            <w:r>
              <w:t xml:space="preserve"> New Code of Practice 2014</w:t>
            </w:r>
          </w:p>
          <w:p w:rsidR="000968CD" w:rsidRDefault="000968CD" w:rsidP="000968CD">
            <w:pPr>
              <w:tabs>
                <w:tab w:val="left" w:pos="1277"/>
              </w:tabs>
            </w:pPr>
          </w:p>
        </w:tc>
      </w:tr>
      <w:tr w:rsidR="000968CD" w:rsidTr="000968CD">
        <w:tc>
          <w:tcPr>
            <w:tcW w:w="9242" w:type="dxa"/>
          </w:tcPr>
          <w:p w:rsidR="000968CD" w:rsidRDefault="000968CD" w:rsidP="000968CD">
            <w:pPr>
              <w:tabs>
                <w:tab w:val="left" w:pos="1277"/>
              </w:tabs>
            </w:pPr>
          </w:p>
          <w:p w:rsidR="000968CD" w:rsidRDefault="000968CD" w:rsidP="000968CD">
            <w:pPr>
              <w:tabs>
                <w:tab w:val="left" w:pos="1277"/>
              </w:tabs>
            </w:pPr>
            <w:r>
              <w:t>The approaches listed below reflect adj</w:t>
            </w:r>
            <w:r>
              <w:t xml:space="preserve">ustments that can be reasonably </w:t>
            </w:r>
            <w:r>
              <w:t xml:space="preserve">offered within </w:t>
            </w:r>
            <w:proofErr w:type="spellStart"/>
            <w:r>
              <w:t>Sefton’s</w:t>
            </w:r>
            <w:proofErr w:type="spellEnd"/>
            <w:r>
              <w:t xml:space="preserve"> mainstream primary s</w:t>
            </w:r>
            <w:r>
              <w:t xml:space="preserve">chools.  They are indicative of </w:t>
            </w:r>
            <w:r>
              <w:t>good teaching and benefit a range of l</w:t>
            </w:r>
            <w:r>
              <w:t xml:space="preserve">earners, whether they have been </w:t>
            </w:r>
            <w:r>
              <w:t>identified as requiring SEN support or not.  For convenience the strategies</w:t>
            </w:r>
          </w:p>
          <w:p w:rsidR="000968CD" w:rsidRDefault="000968CD" w:rsidP="000968CD">
            <w:pPr>
              <w:tabs>
                <w:tab w:val="left" w:pos="1277"/>
              </w:tabs>
            </w:pPr>
            <w:proofErr w:type="gramStart"/>
            <w:r>
              <w:t>have</w:t>
            </w:r>
            <w:proofErr w:type="gramEnd"/>
            <w:r>
              <w:t xml:space="preserve"> been grouped within the types of</w:t>
            </w:r>
            <w:r>
              <w:t xml:space="preserve"> need identified by the Code of </w:t>
            </w:r>
            <w:r>
              <w:t>Practice.  However the intention is for tea</w:t>
            </w:r>
            <w:r>
              <w:t xml:space="preserve">chers to choose the adjustments </w:t>
            </w:r>
            <w:r>
              <w:t xml:space="preserve">they feel will support the pupils in their class.  </w:t>
            </w:r>
          </w:p>
          <w:p w:rsidR="000968CD" w:rsidRDefault="000968CD" w:rsidP="000968CD">
            <w:pPr>
              <w:tabs>
                <w:tab w:val="left" w:pos="1277"/>
              </w:tabs>
            </w:pPr>
          </w:p>
          <w:p w:rsidR="000968CD" w:rsidRDefault="000968CD" w:rsidP="000968CD">
            <w:pPr>
              <w:tabs>
                <w:tab w:val="left" w:pos="1277"/>
              </w:tabs>
            </w:pPr>
            <w:r>
              <w:t>This is therefore not an exhaustive or exclus</w:t>
            </w:r>
            <w:r>
              <w:t xml:space="preserve">ive list.  It simply summarises </w:t>
            </w:r>
            <w:r>
              <w:t>approaches that could be expected in an i</w:t>
            </w:r>
            <w:r>
              <w:t xml:space="preserve">nclusive classroom.  Approaches </w:t>
            </w:r>
            <w:r>
              <w:t>could vary considerably depending upon the</w:t>
            </w:r>
            <w:r>
              <w:t xml:space="preserve"> needs of the pupils.  Teachers </w:t>
            </w:r>
            <w:r>
              <w:t>should make a professional judgement regarding the strategies they employ</w:t>
            </w:r>
          </w:p>
          <w:p w:rsidR="000968CD" w:rsidRDefault="000968CD" w:rsidP="000968CD">
            <w:pPr>
              <w:tabs>
                <w:tab w:val="left" w:pos="1277"/>
              </w:tabs>
            </w:pPr>
            <w:proofErr w:type="gramStart"/>
            <w:r>
              <w:t>to</w:t>
            </w:r>
            <w:proofErr w:type="gramEnd"/>
            <w:r>
              <w:t xml:space="preserve"> promote progress.  </w:t>
            </w:r>
          </w:p>
          <w:p w:rsidR="000968CD" w:rsidRDefault="000968CD" w:rsidP="000968CD">
            <w:pPr>
              <w:tabs>
                <w:tab w:val="left" w:pos="1277"/>
              </w:tabs>
            </w:pPr>
          </w:p>
          <w:p w:rsidR="000968CD" w:rsidRDefault="000968CD" w:rsidP="000968CD">
            <w:pPr>
              <w:tabs>
                <w:tab w:val="left" w:pos="1277"/>
              </w:tabs>
            </w:pPr>
            <w:r>
              <w:t xml:space="preserve">Some approaches may be particularly pertinent </w:t>
            </w:r>
            <w:r>
              <w:t xml:space="preserve">to individual pupils.  In these </w:t>
            </w:r>
            <w:r>
              <w:t xml:space="preserve">circumstances the desired strategies could be </w:t>
            </w:r>
            <w:r>
              <w:t xml:space="preserve">listed in the pupil’s profile – </w:t>
            </w:r>
            <w:r>
              <w:t>and it would be expected that thos</w:t>
            </w:r>
            <w:r>
              <w:t xml:space="preserve">e approaches were employed on a </w:t>
            </w:r>
            <w:r>
              <w:t xml:space="preserve">regular basis. </w:t>
            </w:r>
          </w:p>
          <w:p w:rsidR="000968CD" w:rsidRDefault="000968CD" w:rsidP="000968CD">
            <w:pPr>
              <w:tabs>
                <w:tab w:val="left" w:pos="1277"/>
              </w:tabs>
            </w:pPr>
          </w:p>
        </w:tc>
      </w:tr>
      <w:tr w:rsidR="000968CD" w:rsidTr="000968CD">
        <w:tc>
          <w:tcPr>
            <w:tcW w:w="9242" w:type="dxa"/>
            <w:shd w:val="clear" w:color="auto" w:fill="FFFF00"/>
          </w:tcPr>
          <w:p w:rsidR="000968CD" w:rsidRDefault="000968CD" w:rsidP="000968CD">
            <w:pPr>
              <w:tabs>
                <w:tab w:val="left" w:pos="1277"/>
              </w:tabs>
            </w:pPr>
            <w:r>
              <w:t>Before any adaptations are put in place it w</w:t>
            </w:r>
            <w:r>
              <w:t xml:space="preserve">ould be expected that the pupil </w:t>
            </w:r>
            <w:r>
              <w:t>would have access to a broad and balan</w:t>
            </w:r>
            <w:r>
              <w:t xml:space="preserve">ced curriculum that builds on a </w:t>
            </w:r>
            <w:r>
              <w:t>pupil’s prior attainment and /or level of development.</w:t>
            </w:r>
          </w:p>
        </w:tc>
      </w:tr>
      <w:tr w:rsidR="000968CD" w:rsidTr="000968CD">
        <w:tc>
          <w:tcPr>
            <w:tcW w:w="9242" w:type="dxa"/>
          </w:tcPr>
          <w:p w:rsidR="000968CD" w:rsidRDefault="000968CD" w:rsidP="000968CD">
            <w:pPr>
              <w:tabs>
                <w:tab w:val="left" w:pos="1277"/>
              </w:tabs>
            </w:pPr>
          </w:p>
        </w:tc>
      </w:tr>
      <w:tr w:rsidR="000968CD" w:rsidTr="000968CD">
        <w:tc>
          <w:tcPr>
            <w:tcW w:w="9242" w:type="dxa"/>
            <w:shd w:val="clear" w:color="auto" w:fill="FFFF00"/>
          </w:tcPr>
          <w:p w:rsidR="000968CD" w:rsidRPr="000968CD" w:rsidRDefault="000968CD" w:rsidP="000968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Approaches to suppor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 communication and interaction</w:t>
            </w:r>
          </w:p>
        </w:tc>
      </w:tr>
      <w:tr w:rsidR="000968CD" w:rsidTr="000968CD">
        <w:tc>
          <w:tcPr>
            <w:tcW w:w="9242" w:type="dxa"/>
          </w:tcPr>
          <w:p w:rsidR="000968CD" w:rsidRDefault="000968CD" w:rsidP="00EB3FD9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Clear and simple instructions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Clear classroom organisation and structures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Clear unambiguous use of language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Time provided for pupils to process language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Outcomes modelled and demonstrated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Opportunities to work independently, without interruption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 Teacher able to access and employ method of communication appropriate to need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Visual timetables and supports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 xml:space="preserve">Access to talking partners or alternative approaches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1"/>
              </w:numPr>
              <w:tabs>
                <w:tab w:val="left" w:pos="1277"/>
              </w:tabs>
            </w:pPr>
            <w:r>
              <w:t>Strategies and approaches to manage change and transitions</w:t>
            </w:r>
          </w:p>
        </w:tc>
      </w:tr>
      <w:tr w:rsidR="000968CD" w:rsidTr="000968CD">
        <w:tc>
          <w:tcPr>
            <w:tcW w:w="9242" w:type="dxa"/>
            <w:shd w:val="clear" w:color="auto" w:fill="FFFF00"/>
          </w:tcPr>
          <w:p w:rsidR="000968CD" w:rsidRPr="000968CD" w:rsidRDefault="000968CD" w:rsidP="000968CD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 w:rsidRPr="000968CD">
              <w:rPr>
                <w:b/>
                <w:sz w:val="24"/>
                <w:szCs w:val="24"/>
              </w:rPr>
              <w:t>Approaches to support social, emotional and mental health difficulties</w:t>
            </w:r>
          </w:p>
        </w:tc>
      </w:tr>
      <w:tr w:rsidR="000968CD" w:rsidTr="000968CD">
        <w:tc>
          <w:tcPr>
            <w:tcW w:w="9242" w:type="dxa"/>
          </w:tcPr>
          <w:p w:rsidR="000968CD" w:rsidRDefault="000968CD" w:rsidP="00EB3FD9">
            <w:pPr>
              <w:pStyle w:val="ListParagraph"/>
              <w:numPr>
                <w:ilvl w:val="0"/>
                <w:numId w:val="8"/>
              </w:numPr>
              <w:tabs>
                <w:tab w:val="left" w:pos="1277"/>
              </w:tabs>
            </w:pPr>
            <w:r>
              <w:t>A clear and understood behaviour policy, detailing rewards, sanctions and other</w:t>
            </w:r>
            <w:r>
              <w:t xml:space="preserve"> motivators.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2"/>
              </w:numPr>
              <w:tabs>
                <w:tab w:val="left" w:pos="1277"/>
              </w:tabs>
            </w:pPr>
            <w:r>
              <w:t xml:space="preserve">An environment where pupils feel safe, and free from bullying and harassment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2"/>
              </w:numPr>
              <w:tabs>
                <w:tab w:val="left" w:pos="1277"/>
              </w:tabs>
            </w:pPr>
            <w:r>
              <w:t>A range of opportunities to support social and emotional development, including a</w:t>
            </w:r>
          </w:p>
          <w:p w:rsidR="000968CD" w:rsidRDefault="000968CD" w:rsidP="000968CD">
            <w:pPr>
              <w:tabs>
                <w:tab w:val="left" w:pos="1277"/>
              </w:tabs>
            </w:pPr>
            <w:r>
              <w:t>sense of sel</w:t>
            </w:r>
            <w:r>
              <w:t>f efficacy and self-confidence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3"/>
              </w:numPr>
              <w:tabs>
                <w:tab w:val="left" w:pos="1277"/>
              </w:tabs>
            </w:pPr>
            <w:r>
              <w:lastRenderedPageBreak/>
              <w:t xml:space="preserve">Consistent use of positive language and clear expectations from adults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3"/>
              </w:numPr>
              <w:tabs>
                <w:tab w:val="left" w:pos="1277"/>
              </w:tabs>
            </w:pPr>
            <w:r>
              <w:t xml:space="preserve">Positive, regular communication with parents and carers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3"/>
              </w:numPr>
              <w:tabs>
                <w:tab w:val="left" w:pos="1277"/>
              </w:tabs>
            </w:pPr>
            <w:r>
              <w:t xml:space="preserve">A curriculum that takes into account concentration levels, aptitudes and interests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3"/>
              </w:numPr>
              <w:tabs>
                <w:tab w:val="left" w:pos="1277"/>
              </w:tabs>
            </w:pPr>
            <w:r>
              <w:t xml:space="preserve">Tactile sensory objects to calm student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3"/>
              </w:numPr>
              <w:tabs>
                <w:tab w:val="left" w:pos="1277"/>
              </w:tabs>
            </w:pPr>
            <w:r>
              <w:t xml:space="preserve">Time Out and Time Away Arrangements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3"/>
              </w:numPr>
              <w:tabs>
                <w:tab w:val="left" w:pos="1277"/>
              </w:tabs>
            </w:pPr>
            <w:r>
              <w:t xml:space="preserve">Recognition of sensory needs and appropriate adjustments made </w:t>
            </w:r>
          </w:p>
          <w:p w:rsidR="000968CD" w:rsidRDefault="000968CD" w:rsidP="000968CD">
            <w:pPr>
              <w:pStyle w:val="ListParagraph"/>
              <w:numPr>
                <w:ilvl w:val="0"/>
                <w:numId w:val="3"/>
              </w:numPr>
              <w:tabs>
                <w:tab w:val="left" w:pos="1277"/>
              </w:tabs>
            </w:pPr>
            <w:r>
              <w:t>Class and school mediation strategies</w:t>
            </w:r>
          </w:p>
        </w:tc>
      </w:tr>
      <w:tr w:rsidR="000968CD" w:rsidTr="00EB3FD9">
        <w:tc>
          <w:tcPr>
            <w:tcW w:w="9242" w:type="dxa"/>
            <w:shd w:val="clear" w:color="auto" w:fill="FFFF00"/>
          </w:tcPr>
          <w:p w:rsidR="000968CD" w:rsidRPr="00EB3FD9" w:rsidRDefault="000968CD" w:rsidP="000968CD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 w:rsidRPr="00EB3FD9">
              <w:rPr>
                <w:b/>
                <w:sz w:val="24"/>
                <w:szCs w:val="24"/>
              </w:rPr>
              <w:lastRenderedPageBreak/>
              <w:t>Approaches to support cognition and learning needs</w:t>
            </w:r>
          </w:p>
        </w:tc>
      </w:tr>
      <w:tr w:rsidR="000968CD" w:rsidTr="000968CD">
        <w:tc>
          <w:tcPr>
            <w:tcW w:w="9242" w:type="dxa"/>
          </w:tcPr>
          <w:p w:rsidR="00EB3FD9" w:rsidRDefault="00EB3FD9" w:rsidP="00EB3FD9">
            <w:pPr>
              <w:pStyle w:val="ListParagraph"/>
              <w:numPr>
                <w:ilvl w:val="0"/>
                <w:numId w:val="4"/>
              </w:numPr>
              <w:tabs>
                <w:tab w:val="left" w:pos="1277"/>
              </w:tabs>
            </w:pPr>
            <w:r>
              <w:t>A curriculum that is pertinent to pupil’s level of attainment or development,</w:t>
            </w:r>
          </w:p>
          <w:p w:rsidR="00EB3FD9" w:rsidRDefault="00EB3FD9" w:rsidP="00EB3FD9">
            <w:pPr>
              <w:tabs>
                <w:tab w:val="left" w:pos="1277"/>
              </w:tabs>
            </w:pPr>
            <w:r>
              <w:t xml:space="preserve">where the pupil is aware of the next steps in learning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4"/>
              </w:numPr>
              <w:tabs>
                <w:tab w:val="left" w:pos="1277"/>
              </w:tabs>
            </w:pPr>
            <w:r>
              <w:t>Curriculum differentiated by changing presentation, task  or outcomes (as</w:t>
            </w:r>
          </w:p>
          <w:p w:rsidR="00EB3FD9" w:rsidRDefault="00EB3FD9" w:rsidP="00EB3FD9">
            <w:pPr>
              <w:tabs>
                <w:tab w:val="left" w:pos="1277"/>
              </w:tabs>
            </w:pPr>
            <w:r>
              <w:t xml:space="preserve">appropriate to learning) 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4"/>
              </w:numPr>
              <w:tabs>
                <w:tab w:val="left" w:pos="1277"/>
              </w:tabs>
              <w:jc w:val="both"/>
            </w:pPr>
            <w:r>
              <w:t xml:space="preserve">Reading material accessible to students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4"/>
              </w:numPr>
              <w:tabs>
                <w:tab w:val="left" w:pos="1277"/>
              </w:tabs>
            </w:pPr>
            <w:r>
              <w:t xml:space="preserve">Students can present their knowledge / views in a variety of ways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4"/>
              </w:numPr>
              <w:tabs>
                <w:tab w:val="left" w:pos="1277"/>
              </w:tabs>
            </w:pPr>
            <w:r>
              <w:t>Accessibility to personalised learning aids and scaffolds such as word banks,</w:t>
            </w:r>
          </w:p>
          <w:p w:rsidR="00EB3FD9" w:rsidRDefault="00EB3FD9" w:rsidP="00EB3FD9">
            <w:pPr>
              <w:tabs>
                <w:tab w:val="left" w:pos="1277"/>
              </w:tabs>
            </w:pPr>
            <w:proofErr w:type="gramStart"/>
            <w:r>
              <w:t>number</w:t>
            </w:r>
            <w:proofErr w:type="gramEnd"/>
            <w:r>
              <w:t xml:space="preserve"> lines, memory prompts, etc.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5"/>
              </w:numPr>
              <w:tabs>
                <w:tab w:val="left" w:pos="1277"/>
              </w:tabs>
            </w:pPr>
            <w:r>
              <w:t xml:space="preserve">Collaborative working opportunities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5"/>
              </w:numPr>
              <w:tabs>
                <w:tab w:val="left" w:pos="1277"/>
              </w:tabs>
            </w:pPr>
            <w:r>
              <w:t xml:space="preserve">Repetition and reinforcement of skills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5"/>
              </w:numPr>
              <w:tabs>
                <w:tab w:val="left" w:pos="1277"/>
              </w:tabs>
            </w:pPr>
            <w:r>
              <w:t xml:space="preserve">Visually supported learning environments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5"/>
              </w:numPr>
              <w:tabs>
                <w:tab w:val="left" w:pos="1277"/>
              </w:tabs>
            </w:pPr>
            <w:r>
              <w:t xml:space="preserve">Adjustments to alleviate visual stress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5"/>
              </w:numPr>
              <w:tabs>
                <w:tab w:val="left" w:pos="1277"/>
              </w:tabs>
            </w:pPr>
            <w:r>
              <w:t xml:space="preserve">Multi-sensory approaches to learning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5"/>
              </w:numPr>
              <w:tabs>
                <w:tab w:val="left" w:pos="1277"/>
              </w:tabs>
            </w:pPr>
            <w:r>
              <w:t xml:space="preserve">Methods to summarise and highlight key teaching points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5"/>
              </w:numPr>
              <w:tabs>
                <w:tab w:val="left" w:pos="1277"/>
              </w:tabs>
            </w:pPr>
            <w:r>
              <w:t>Questions differentiated in accordance to level of understanding and emotional</w:t>
            </w:r>
          </w:p>
          <w:p w:rsidR="00EB3FD9" w:rsidRDefault="00EB3FD9" w:rsidP="00EB3FD9">
            <w:pPr>
              <w:tabs>
                <w:tab w:val="left" w:pos="1277"/>
              </w:tabs>
            </w:pPr>
            <w:r>
              <w:t xml:space="preserve">needs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6"/>
              </w:numPr>
              <w:tabs>
                <w:tab w:val="left" w:pos="1277"/>
              </w:tabs>
            </w:pPr>
            <w:r>
              <w:t xml:space="preserve">Interactive learning opportunities </w:t>
            </w:r>
          </w:p>
          <w:p w:rsidR="000968CD" w:rsidRDefault="00EB3FD9" w:rsidP="000968CD">
            <w:pPr>
              <w:pStyle w:val="ListParagraph"/>
              <w:numPr>
                <w:ilvl w:val="0"/>
                <w:numId w:val="6"/>
              </w:numPr>
              <w:tabs>
                <w:tab w:val="left" w:pos="1277"/>
              </w:tabs>
            </w:pPr>
            <w:r>
              <w:t>Teaching adapted to a range of learning preferences</w:t>
            </w:r>
          </w:p>
        </w:tc>
      </w:tr>
      <w:tr w:rsidR="000968CD" w:rsidTr="00EB3FD9">
        <w:tc>
          <w:tcPr>
            <w:tcW w:w="9242" w:type="dxa"/>
            <w:shd w:val="clear" w:color="auto" w:fill="FFFF00"/>
          </w:tcPr>
          <w:p w:rsidR="000968CD" w:rsidRPr="00EB3FD9" w:rsidRDefault="00EB3FD9" w:rsidP="000968CD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 w:rsidRPr="00EB3FD9">
              <w:rPr>
                <w:b/>
                <w:sz w:val="24"/>
                <w:szCs w:val="24"/>
              </w:rPr>
              <w:t>Approaches to support sensory and / or physical needs</w:t>
            </w:r>
          </w:p>
        </w:tc>
      </w:tr>
      <w:tr w:rsidR="000968CD" w:rsidTr="000968CD">
        <w:tc>
          <w:tcPr>
            <w:tcW w:w="9242" w:type="dxa"/>
          </w:tcPr>
          <w:p w:rsidR="00EB3FD9" w:rsidRDefault="00EB3FD9" w:rsidP="00EB3FD9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</w:pPr>
            <w:r>
              <w:t xml:space="preserve">Environmental adaptations to suit cohort or individual pupils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</w:pPr>
            <w:r>
              <w:t xml:space="preserve">Access to equipment provided to ensure mobility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</w:pPr>
            <w:r>
              <w:t xml:space="preserve">Awareness of seating positions to take into account sensory difficulties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</w:pPr>
            <w:r>
              <w:t xml:space="preserve">Adaptations to resources to ensure accessibility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</w:pPr>
            <w:r>
              <w:t xml:space="preserve">Access to developmentally appropriate materials and resources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</w:pPr>
            <w:r>
              <w:t xml:space="preserve">Adaptations to presentation of learning </w:t>
            </w:r>
          </w:p>
          <w:p w:rsidR="00EB3FD9" w:rsidRDefault="00EB3FD9" w:rsidP="00EB3FD9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</w:pPr>
            <w:r>
              <w:t xml:space="preserve">Effective use of resources and access technology </w:t>
            </w:r>
          </w:p>
          <w:p w:rsidR="000968CD" w:rsidRDefault="00EB3FD9" w:rsidP="00EB3FD9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</w:pPr>
            <w:r>
              <w:t>Support as detailed in access plan or health care plan</w:t>
            </w:r>
          </w:p>
        </w:tc>
      </w:tr>
    </w:tbl>
    <w:p w:rsidR="000968CD" w:rsidRPr="00EB3FD9" w:rsidRDefault="000968CD" w:rsidP="00EB3FD9">
      <w:pPr>
        <w:tabs>
          <w:tab w:val="left" w:pos="1277"/>
        </w:tabs>
        <w:jc w:val="both"/>
        <w:rPr>
          <w:b/>
        </w:rPr>
      </w:pPr>
    </w:p>
    <w:p w:rsidR="00EB3FD9" w:rsidRPr="00EB3FD9" w:rsidRDefault="00EB3FD9" w:rsidP="00EB3FD9">
      <w:pPr>
        <w:tabs>
          <w:tab w:val="left" w:pos="1277"/>
        </w:tabs>
        <w:spacing w:after="0"/>
        <w:jc w:val="both"/>
        <w:rPr>
          <w:b/>
        </w:rPr>
      </w:pPr>
      <w:r w:rsidRPr="00EB3FD9">
        <w:rPr>
          <w:b/>
        </w:rPr>
        <w:t>Many schools will also provide support in the form target</w:t>
      </w:r>
      <w:r w:rsidRPr="00EB3FD9">
        <w:rPr>
          <w:b/>
        </w:rPr>
        <w:t xml:space="preserve">ed interventions aimed to boost </w:t>
      </w:r>
      <w:r w:rsidRPr="00EB3FD9">
        <w:rPr>
          <w:b/>
        </w:rPr>
        <w:t>learning for a short period of time.  Such programmes are l</w:t>
      </w:r>
      <w:r w:rsidRPr="00EB3FD9">
        <w:rPr>
          <w:b/>
        </w:rPr>
        <w:t xml:space="preserve">ikely to be seen as part of the </w:t>
      </w:r>
      <w:r w:rsidRPr="00EB3FD9">
        <w:rPr>
          <w:b/>
        </w:rPr>
        <w:t xml:space="preserve">school’s quality first offer to all children, targeted where and when they are required. </w:t>
      </w:r>
    </w:p>
    <w:p w:rsidR="00EB3FD9" w:rsidRDefault="00EB3FD9" w:rsidP="00EB3FD9">
      <w:pPr>
        <w:tabs>
          <w:tab w:val="left" w:pos="1277"/>
        </w:tabs>
        <w:spacing w:after="0"/>
        <w:jc w:val="both"/>
      </w:pPr>
    </w:p>
    <w:p w:rsidR="00EB3FD9" w:rsidRPr="00EB3FD9" w:rsidRDefault="00EB3FD9" w:rsidP="00EB3FD9">
      <w:pPr>
        <w:tabs>
          <w:tab w:val="left" w:pos="1277"/>
        </w:tabs>
        <w:spacing w:after="0"/>
        <w:jc w:val="both"/>
        <w:rPr>
          <w:b/>
        </w:rPr>
      </w:pPr>
      <w:r w:rsidRPr="00EB3FD9">
        <w:rPr>
          <w:b/>
        </w:rPr>
        <w:t xml:space="preserve">Primary schools in </w:t>
      </w:r>
      <w:proofErr w:type="spellStart"/>
      <w:r w:rsidRPr="00EB3FD9">
        <w:rPr>
          <w:b/>
        </w:rPr>
        <w:t>Sefton</w:t>
      </w:r>
      <w:proofErr w:type="spellEnd"/>
      <w:r w:rsidRPr="00EB3FD9">
        <w:rPr>
          <w:b/>
        </w:rPr>
        <w:t xml:space="preserve"> have all agreed to the use of these indicative quality f</w:t>
      </w:r>
      <w:r w:rsidRPr="00EB3FD9">
        <w:rPr>
          <w:b/>
        </w:rPr>
        <w:t xml:space="preserve">irst approaches in </w:t>
      </w:r>
      <w:r w:rsidRPr="00EB3FD9">
        <w:rPr>
          <w:b/>
        </w:rPr>
        <w:t>their classrooms.  Methods will vary across settings depending upon the learning needs of their</w:t>
      </w:r>
    </w:p>
    <w:p w:rsidR="00EB3FD9" w:rsidRPr="00EB3FD9" w:rsidRDefault="00EB3FD9" w:rsidP="00EB3FD9">
      <w:pPr>
        <w:tabs>
          <w:tab w:val="left" w:pos="1277"/>
        </w:tabs>
        <w:spacing w:after="0"/>
        <w:jc w:val="both"/>
        <w:rPr>
          <w:b/>
        </w:rPr>
      </w:pPr>
      <w:proofErr w:type="gramStart"/>
      <w:r w:rsidRPr="00EB3FD9">
        <w:rPr>
          <w:b/>
        </w:rPr>
        <w:t>pupils</w:t>
      </w:r>
      <w:proofErr w:type="gramEnd"/>
      <w:r w:rsidRPr="00EB3FD9">
        <w:rPr>
          <w:b/>
        </w:rPr>
        <w:t>.  Schools should have their own methods of monitoring the use and impact of strategies</w:t>
      </w:r>
    </w:p>
    <w:p w:rsidR="00EB3FD9" w:rsidRDefault="00EB3FD9" w:rsidP="00EB3FD9">
      <w:pPr>
        <w:tabs>
          <w:tab w:val="left" w:pos="1277"/>
        </w:tabs>
        <w:spacing w:after="0"/>
        <w:jc w:val="both"/>
        <w:rPr>
          <w:b/>
        </w:rPr>
      </w:pPr>
      <w:proofErr w:type="gramStart"/>
      <w:r w:rsidRPr="00EB3FD9">
        <w:rPr>
          <w:b/>
        </w:rPr>
        <w:t>used</w:t>
      </w:r>
      <w:proofErr w:type="gramEnd"/>
      <w:r w:rsidRPr="00EB3FD9">
        <w:rPr>
          <w:b/>
        </w:rPr>
        <w:t>.</w:t>
      </w:r>
    </w:p>
    <w:p w:rsidR="00EB3FD9" w:rsidRDefault="00EB3FD9" w:rsidP="00EB3FD9">
      <w:pPr>
        <w:tabs>
          <w:tab w:val="left" w:pos="1277"/>
        </w:tabs>
        <w:spacing w:after="0"/>
        <w:jc w:val="both"/>
        <w:rPr>
          <w:b/>
        </w:rPr>
      </w:pPr>
    </w:p>
    <w:p w:rsidR="00EB3FD9" w:rsidRPr="00EB3FD9" w:rsidRDefault="00EB3FD9" w:rsidP="00EB3FD9">
      <w:pPr>
        <w:tabs>
          <w:tab w:val="left" w:pos="1277"/>
        </w:tabs>
        <w:spacing w:after="0"/>
        <w:jc w:val="both"/>
        <w:rPr>
          <w:b/>
        </w:rPr>
      </w:pPr>
      <w:bookmarkStart w:id="0" w:name="_GoBack"/>
      <w:bookmarkEnd w:id="0"/>
    </w:p>
    <w:sectPr w:rsidR="00EB3FD9" w:rsidRPr="00EB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490"/>
    <w:multiLevelType w:val="hybridMultilevel"/>
    <w:tmpl w:val="8068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22FC"/>
    <w:multiLevelType w:val="hybridMultilevel"/>
    <w:tmpl w:val="61FA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3091"/>
    <w:multiLevelType w:val="hybridMultilevel"/>
    <w:tmpl w:val="A636F06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B8C3887"/>
    <w:multiLevelType w:val="hybridMultilevel"/>
    <w:tmpl w:val="72A0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732D"/>
    <w:multiLevelType w:val="hybridMultilevel"/>
    <w:tmpl w:val="F6B0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F530D"/>
    <w:multiLevelType w:val="hybridMultilevel"/>
    <w:tmpl w:val="DCE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13C5C"/>
    <w:multiLevelType w:val="hybridMultilevel"/>
    <w:tmpl w:val="CD78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7117C"/>
    <w:multiLevelType w:val="hybridMultilevel"/>
    <w:tmpl w:val="D1F8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D"/>
    <w:rsid w:val="000968CD"/>
    <w:rsid w:val="00406D3A"/>
    <w:rsid w:val="00E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Metcalfe</dc:creator>
  <cp:lastModifiedBy>Jennifer Metcalfe</cp:lastModifiedBy>
  <cp:revision>1</cp:revision>
  <dcterms:created xsi:type="dcterms:W3CDTF">2017-01-05T10:25:00Z</dcterms:created>
  <dcterms:modified xsi:type="dcterms:W3CDTF">2017-01-05T10:43:00Z</dcterms:modified>
</cp:coreProperties>
</file>